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5A" w:rsidRDefault="00992C5A" w:rsidP="00992C5A">
      <w:pPr>
        <w:rPr>
          <w:rFonts w:eastAsia="Times New Roman"/>
          <w:b/>
          <w:bCs/>
          <w:iCs/>
          <w:color w:val="283164"/>
          <w:sz w:val="22"/>
          <w:szCs w:val="22"/>
        </w:rPr>
      </w:pPr>
      <w:r>
        <w:rPr>
          <w:rFonts w:eastAsia="Times New Roman"/>
          <w:b/>
          <w:bCs/>
          <w:iCs/>
          <w:color w:val="283164"/>
          <w:sz w:val="22"/>
          <w:szCs w:val="22"/>
        </w:rPr>
        <w:t>Příloha č. III.</w:t>
      </w:r>
    </w:p>
    <w:p w:rsidR="00992C5A" w:rsidRDefault="00992C5A" w:rsidP="00992C5A">
      <w:pPr>
        <w:rPr>
          <w:rFonts w:eastAsia="Times New Roman"/>
          <w:b/>
          <w:bCs/>
          <w:iCs/>
          <w:color w:val="283164"/>
          <w:sz w:val="22"/>
          <w:szCs w:val="22"/>
        </w:rPr>
      </w:pPr>
    </w:p>
    <w:p w:rsidR="00992C5A" w:rsidRDefault="00992C5A" w:rsidP="00992C5A">
      <w:pPr>
        <w:jc w:val="center"/>
        <w:rPr>
          <w:b/>
          <w:sz w:val="24"/>
          <w:szCs w:val="24"/>
        </w:rPr>
      </w:pPr>
      <w:r w:rsidRPr="00D96BC5">
        <w:rPr>
          <w:b/>
          <w:sz w:val="24"/>
          <w:szCs w:val="24"/>
        </w:rPr>
        <w:t>Smluvní ujednání pro pojištění odpovědnosti za újmu</w:t>
      </w:r>
    </w:p>
    <w:p w:rsidR="00992C5A" w:rsidRPr="00D96BC5" w:rsidRDefault="00992C5A" w:rsidP="00992C5A">
      <w:pPr>
        <w:jc w:val="center"/>
        <w:rPr>
          <w:b/>
          <w:sz w:val="24"/>
          <w:szCs w:val="24"/>
        </w:rPr>
      </w:pPr>
      <w:r w:rsidRPr="00D96BC5">
        <w:rPr>
          <w:b/>
          <w:sz w:val="24"/>
          <w:szCs w:val="24"/>
        </w:rPr>
        <w:t>„</w:t>
      </w:r>
      <w:proofErr w:type="spellStart"/>
      <w:r w:rsidRPr="00D96BC5">
        <w:rPr>
          <w:b/>
          <w:sz w:val="24"/>
          <w:szCs w:val="24"/>
        </w:rPr>
        <w:t>VZ_Ústí</w:t>
      </w:r>
      <w:proofErr w:type="spellEnd"/>
      <w:r w:rsidRPr="00D96BC5">
        <w:rPr>
          <w:b/>
          <w:sz w:val="24"/>
          <w:szCs w:val="24"/>
        </w:rPr>
        <w:t xml:space="preserve"> nad </w:t>
      </w:r>
      <w:proofErr w:type="spellStart"/>
      <w:r w:rsidRPr="00D96BC5">
        <w:rPr>
          <w:b/>
          <w:sz w:val="24"/>
          <w:szCs w:val="24"/>
        </w:rPr>
        <w:t>Orlicí_Smluvní</w:t>
      </w:r>
      <w:proofErr w:type="spellEnd"/>
      <w:r w:rsidRPr="00D96BC5">
        <w:rPr>
          <w:b/>
          <w:sz w:val="24"/>
          <w:szCs w:val="24"/>
        </w:rPr>
        <w:t xml:space="preserve"> ujednání pro pojištění odpovědnosti za újmu.pdf“</w:t>
      </w:r>
    </w:p>
    <w:p w:rsidR="00992C5A" w:rsidRDefault="00992C5A" w:rsidP="00992C5A">
      <w:pPr>
        <w:rPr>
          <w:sz w:val="22"/>
          <w:szCs w:val="22"/>
        </w:rPr>
      </w:pPr>
    </w:p>
    <w:p w:rsidR="00992C5A" w:rsidRPr="00D96BC5" w:rsidRDefault="00992C5A" w:rsidP="00992C5A">
      <w:pPr>
        <w:rPr>
          <w:szCs w:val="18"/>
        </w:rPr>
      </w:pPr>
      <w:r w:rsidRPr="00D96BC5">
        <w:rPr>
          <w:szCs w:val="18"/>
        </w:rPr>
        <w:t>Návrhy pojistných smluv musí dále obsahovat níže uvedená smluvní ujednání vztahující se k pojištění odpovědnosti za újmu:</w:t>
      </w:r>
    </w:p>
    <w:p w:rsidR="00992C5A" w:rsidRDefault="00992C5A" w:rsidP="00992C5A">
      <w:pPr>
        <w:rPr>
          <w:b/>
          <w:sz w:val="22"/>
          <w:szCs w:val="22"/>
        </w:rPr>
      </w:pPr>
    </w:p>
    <w:p w:rsidR="00992C5A" w:rsidRDefault="00992C5A" w:rsidP="00992C5A">
      <w:pPr>
        <w:pStyle w:val="Nadpis3"/>
        <w:numPr>
          <w:ilvl w:val="0"/>
          <w:numId w:val="11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0" w:name="_Toc256786590"/>
      <w:bookmarkStart w:id="1" w:name="_Toc256786754"/>
      <w:proofErr w:type="spellStart"/>
      <w:r w:rsidRPr="00E75B00">
        <w:rPr>
          <w:sz w:val="24"/>
          <w:szCs w:val="24"/>
        </w:rPr>
        <w:t>Loss</w:t>
      </w:r>
      <w:proofErr w:type="spellEnd"/>
      <w:r w:rsidRPr="00E75B00">
        <w:rPr>
          <w:sz w:val="24"/>
          <w:szCs w:val="24"/>
        </w:rPr>
        <w:t xml:space="preserve"> </w:t>
      </w:r>
      <w:proofErr w:type="spellStart"/>
      <w:r w:rsidRPr="00E75B00">
        <w:rPr>
          <w:sz w:val="24"/>
          <w:szCs w:val="24"/>
        </w:rPr>
        <w:t>occurrence</w:t>
      </w:r>
      <w:bookmarkEnd w:id="0"/>
      <w:bookmarkEnd w:id="1"/>
      <w:proofErr w:type="spellEnd"/>
    </w:p>
    <w:p w:rsidR="00992C5A" w:rsidRPr="0018093A" w:rsidRDefault="00992C5A" w:rsidP="00992C5A">
      <w:r>
        <w:rPr>
          <w:rFonts w:cs="Arial"/>
          <w:szCs w:val="22"/>
        </w:rPr>
        <w:t>Pojistnou událostí se rozumí vznik škody, za kterou pojištěný právně odpovídá a která nastala v průběhu trvání pojištění v důsledku jednání pojištěného nebo jiné skutečnosti v přímé souvislosti s podnikatelskou činností pojištěného, a to bez ohledu na to, kdy nastala příčina takové škody nebo kdy byl vznesen nárok na její náhradu.</w:t>
      </w:r>
    </w:p>
    <w:p w:rsidR="00992C5A" w:rsidRDefault="00992C5A" w:rsidP="00992C5A">
      <w:pPr>
        <w:pStyle w:val="Nadpis3"/>
        <w:keepNext w:val="0"/>
        <w:widowControl w:val="0"/>
        <w:numPr>
          <w:ilvl w:val="0"/>
          <w:numId w:val="11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2" w:name="_Toc256786596"/>
      <w:bookmarkStart w:id="3" w:name="_Toc256786760"/>
      <w:r w:rsidRPr="00E75B00">
        <w:rPr>
          <w:sz w:val="24"/>
          <w:szCs w:val="24"/>
        </w:rPr>
        <w:t xml:space="preserve">Regresní nároky </w:t>
      </w:r>
      <w:r>
        <w:rPr>
          <w:sz w:val="24"/>
          <w:szCs w:val="24"/>
        </w:rPr>
        <w:t>– nemocenské pojištění</w:t>
      </w:r>
      <w:bookmarkEnd w:id="2"/>
      <w:bookmarkEnd w:id="3"/>
    </w:p>
    <w:p w:rsidR="00992C5A" w:rsidRPr="00D96BC5" w:rsidRDefault="00992C5A" w:rsidP="00992C5A">
      <w:pPr>
        <w:rPr>
          <w:rFonts w:cs="Arial"/>
          <w:iCs/>
        </w:rPr>
      </w:pPr>
      <w:r w:rsidRPr="00D96BC5">
        <w:rPr>
          <w:rFonts w:cs="Arial"/>
          <w:iCs/>
        </w:rPr>
        <w:t xml:space="preserve">Pojištění se vztahuje též na případy nároku orgánu nemocenského </w:t>
      </w:r>
      <w:proofErr w:type="gramStart"/>
      <w:r w:rsidRPr="00D96BC5">
        <w:rPr>
          <w:rFonts w:cs="Arial"/>
          <w:iCs/>
        </w:rPr>
        <w:t>pojištění  vůči</w:t>
      </w:r>
      <w:proofErr w:type="gramEnd"/>
      <w:r w:rsidRPr="00D96BC5">
        <w:rPr>
          <w:rFonts w:cs="Arial"/>
          <w:iCs/>
        </w:rPr>
        <w:t xml:space="preserve"> pojištěnému na regresní náhradu vyplacených dávek nemocenského pojištění (např. §126 zákona č. 187/2006 Sb., o nemocenském pojištění).</w:t>
      </w:r>
    </w:p>
    <w:p w:rsidR="00992C5A" w:rsidRDefault="00992C5A" w:rsidP="00992C5A">
      <w:pPr>
        <w:pStyle w:val="Nadpis3"/>
        <w:keepNext w:val="0"/>
        <w:widowControl w:val="0"/>
        <w:numPr>
          <w:ilvl w:val="0"/>
          <w:numId w:val="11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4" w:name="_Toc256786597"/>
      <w:bookmarkStart w:id="5" w:name="_Toc256786761"/>
      <w:r w:rsidRPr="00E75B00">
        <w:rPr>
          <w:sz w:val="24"/>
          <w:szCs w:val="24"/>
        </w:rPr>
        <w:t>Škody způsobené majetkově propojeným subjektům – rozšíření pojistného krytí</w:t>
      </w:r>
      <w:bookmarkEnd w:id="4"/>
      <w:bookmarkEnd w:id="5"/>
    </w:p>
    <w:p w:rsidR="00992C5A" w:rsidRPr="0018093A" w:rsidRDefault="00992C5A" w:rsidP="00992C5A">
      <w:r>
        <w:rPr>
          <w:rFonts w:cs="Arial"/>
        </w:rPr>
        <w:t xml:space="preserve">Pojištění se vztahuje na škody </w:t>
      </w:r>
      <w:r>
        <w:rPr>
          <w:rFonts w:cs="Arial"/>
          <w:szCs w:val="22"/>
        </w:rPr>
        <w:t>způsobené pojištěným majetkově propojeným osobám, a to pro veškerý rozsah pojistného krytí a do limitů pojistného plnění sjednaných touto pojistnou smlouvou.</w:t>
      </w:r>
    </w:p>
    <w:p w:rsidR="00992C5A" w:rsidRDefault="00992C5A" w:rsidP="00992C5A">
      <w:pPr>
        <w:pStyle w:val="Nadpis3"/>
        <w:keepNext w:val="0"/>
        <w:widowControl w:val="0"/>
        <w:numPr>
          <w:ilvl w:val="0"/>
          <w:numId w:val="11"/>
        </w:numPr>
        <w:tabs>
          <w:tab w:val="clear" w:pos="2340"/>
          <w:tab w:val="num" w:pos="1080"/>
        </w:tabs>
        <w:spacing w:after="120" w:line="240" w:lineRule="auto"/>
        <w:ind w:left="2517" w:hanging="2517"/>
        <w:rPr>
          <w:sz w:val="24"/>
          <w:szCs w:val="24"/>
        </w:rPr>
      </w:pPr>
      <w:bookmarkStart w:id="6" w:name="_Toc256786598"/>
      <w:bookmarkStart w:id="7" w:name="_Toc256786762"/>
      <w:r>
        <w:rPr>
          <w:sz w:val="24"/>
          <w:szCs w:val="24"/>
        </w:rPr>
        <w:t>Křížová odpovědnost</w:t>
      </w:r>
      <w:r>
        <w:rPr>
          <w:rFonts w:cs="Arial"/>
          <w:color w:val="3366FF"/>
          <w:sz w:val="24"/>
        </w:rPr>
        <w:tab/>
      </w:r>
      <w:r>
        <w:rPr>
          <w:rFonts w:cs="Arial"/>
          <w:color w:val="3366FF"/>
          <w:sz w:val="24"/>
        </w:rPr>
        <w:tab/>
        <w:t xml:space="preserve"> </w:t>
      </w:r>
      <w:r>
        <w:rPr>
          <w:rFonts w:cs="Arial"/>
          <w:color w:val="3366FF"/>
          <w:sz w:val="24"/>
        </w:rPr>
        <w:tab/>
        <w:t xml:space="preserve">                                        </w:t>
      </w:r>
      <w:bookmarkEnd w:id="6"/>
      <w:bookmarkEnd w:id="7"/>
    </w:p>
    <w:p w:rsidR="00992C5A" w:rsidRPr="0018093A" w:rsidRDefault="00992C5A" w:rsidP="00992C5A">
      <w:r>
        <w:rPr>
          <w:rFonts w:cs="Arial"/>
          <w:szCs w:val="22"/>
        </w:rPr>
        <w:t>Připojištěním křížové odpovědnosti se rozumí jednak krytí škod způsobených mezi subjekty pojištěnými v tomto pojištění, jednak krytí škod způsobených pojištěnými majetkově propojeným osobám, a to pro veškerý rozsah pojistného krytí a do limitů pojistného plnění sjednaných touto pojistnou smlouvou.</w:t>
      </w:r>
    </w:p>
    <w:p w:rsidR="00992C5A" w:rsidRDefault="00992C5A" w:rsidP="00992C5A">
      <w:pPr>
        <w:pStyle w:val="Nadpis3"/>
        <w:keepNext w:val="0"/>
        <w:widowControl w:val="0"/>
        <w:numPr>
          <w:ilvl w:val="0"/>
          <w:numId w:val="11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8" w:name="_Toc256786599"/>
      <w:bookmarkStart w:id="9" w:name="_Toc256786763"/>
      <w:r w:rsidRPr="00E75B00">
        <w:rPr>
          <w:sz w:val="24"/>
          <w:szCs w:val="24"/>
        </w:rPr>
        <w:t>Ochrana osobnosti</w:t>
      </w:r>
      <w:bookmarkEnd w:id="8"/>
      <w:bookmarkEnd w:id="9"/>
    </w:p>
    <w:p w:rsidR="00992C5A" w:rsidRPr="00666EBC" w:rsidRDefault="00992C5A" w:rsidP="00992C5A">
      <w:pPr>
        <w:rPr>
          <w:rFonts w:cs="Arial"/>
          <w:color w:val="auto"/>
          <w:szCs w:val="22"/>
        </w:rPr>
      </w:pPr>
      <w:r w:rsidRPr="00666EBC">
        <w:rPr>
          <w:rFonts w:cs="Arial"/>
          <w:color w:val="auto"/>
          <w:szCs w:val="22"/>
        </w:rPr>
        <w:t>Pojištění se vztahuje na náhradu nemajetkové újmy způsobené neoprávněným zásahem pojištěného do práva na ochranu osobnosti, je-li povinnost pojištěného k její náhradě dána pravomocným soudním rozhodnutím.  Pojištění se dále též vztahuje na odpovědnost za škody způsobené neoprávněným zásahem do práva na ochranu osobnosti.</w:t>
      </w:r>
    </w:p>
    <w:p w:rsidR="00992C5A" w:rsidRPr="0018093A" w:rsidRDefault="00992C5A" w:rsidP="00992C5A"/>
    <w:p w:rsidR="00992C5A" w:rsidRDefault="00992C5A" w:rsidP="00992C5A">
      <w:pPr>
        <w:pStyle w:val="Nadpis3"/>
        <w:keepNext w:val="0"/>
        <w:widowControl w:val="0"/>
        <w:numPr>
          <w:ilvl w:val="0"/>
          <w:numId w:val="11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10" w:name="_Toc256786601"/>
      <w:bookmarkStart w:id="11" w:name="_Toc256786765"/>
      <w:r w:rsidRPr="00E75B00">
        <w:rPr>
          <w:sz w:val="24"/>
          <w:szCs w:val="24"/>
        </w:rPr>
        <w:t xml:space="preserve">Čisté finanční škody </w:t>
      </w:r>
      <w:r>
        <w:rPr>
          <w:sz w:val="24"/>
          <w:szCs w:val="24"/>
        </w:rPr>
        <w:t>–</w:t>
      </w:r>
      <w:r w:rsidRPr="00E75B00">
        <w:rPr>
          <w:sz w:val="24"/>
          <w:szCs w:val="24"/>
        </w:rPr>
        <w:t xml:space="preserve"> výrobek</w:t>
      </w:r>
      <w:bookmarkEnd w:id="10"/>
      <w:bookmarkEnd w:id="11"/>
    </w:p>
    <w:p w:rsidR="00992C5A" w:rsidRPr="0018093A" w:rsidRDefault="00992C5A" w:rsidP="00992C5A">
      <w:r>
        <w:rPr>
          <w:rFonts w:cs="Arial"/>
          <w:szCs w:val="22"/>
        </w:rPr>
        <w:t>Připojištění čistých finančních škod se vztahuje i na čisté finanční škody vzniklé v důsledku vady výrobku (spojení, smísení; montáž, demontáž).</w:t>
      </w:r>
    </w:p>
    <w:p w:rsidR="00992C5A" w:rsidRDefault="00992C5A" w:rsidP="00992C5A">
      <w:pPr>
        <w:pStyle w:val="Nadpis3"/>
        <w:numPr>
          <w:ilvl w:val="0"/>
          <w:numId w:val="11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12" w:name="_Toc256786608"/>
      <w:bookmarkStart w:id="13" w:name="_Toc256786772"/>
      <w:r w:rsidRPr="00682431">
        <w:rPr>
          <w:sz w:val="24"/>
          <w:szCs w:val="24"/>
        </w:rPr>
        <w:t xml:space="preserve">Věci užívané </w:t>
      </w:r>
      <w:r>
        <w:rPr>
          <w:sz w:val="24"/>
          <w:szCs w:val="24"/>
        </w:rPr>
        <w:t>–</w:t>
      </w:r>
      <w:r w:rsidRPr="00682431">
        <w:rPr>
          <w:sz w:val="24"/>
          <w:szCs w:val="24"/>
        </w:rPr>
        <w:t xml:space="preserve"> nemovitosti</w:t>
      </w:r>
      <w:r>
        <w:rPr>
          <w:rFonts w:cs="Arial"/>
          <w:color w:val="3366FF"/>
          <w:sz w:val="24"/>
        </w:rPr>
        <w:tab/>
        <w:t xml:space="preserve">     </w:t>
      </w:r>
      <w:r>
        <w:rPr>
          <w:rFonts w:cs="Arial"/>
          <w:color w:val="3366FF"/>
          <w:sz w:val="24"/>
        </w:rPr>
        <w:tab/>
        <w:t xml:space="preserve">                                        </w:t>
      </w:r>
      <w:bookmarkEnd w:id="12"/>
      <w:bookmarkEnd w:id="13"/>
    </w:p>
    <w:p w:rsidR="00992C5A" w:rsidRPr="00682431" w:rsidRDefault="00992C5A" w:rsidP="00992C5A">
      <w:r>
        <w:rPr>
          <w:rFonts w:cs="Arial"/>
          <w:szCs w:val="22"/>
        </w:rPr>
        <w:t>V případě sjednaného pojistného krytí pro škody na věcech převzatých nebo užívaných se toto připojištění vztahuje také na nemovitosti.</w:t>
      </w:r>
    </w:p>
    <w:p w:rsidR="00992C5A" w:rsidRDefault="00992C5A" w:rsidP="00992C5A">
      <w:pPr>
        <w:pStyle w:val="Nadpis3"/>
        <w:numPr>
          <w:ilvl w:val="0"/>
          <w:numId w:val="11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14" w:name="_Toc256786609"/>
      <w:bookmarkStart w:id="15" w:name="_Toc256786773"/>
      <w:r w:rsidRPr="00E75B00">
        <w:rPr>
          <w:sz w:val="24"/>
          <w:szCs w:val="24"/>
        </w:rPr>
        <w:lastRenderedPageBreak/>
        <w:t>Odpovědnost z držby nemovitosti</w:t>
      </w:r>
      <w:r>
        <w:rPr>
          <w:rFonts w:cs="Arial"/>
          <w:color w:val="3366FF"/>
          <w:sz w:val="24"/>
        </w:rPr>
        <w:tab/>
        <w:t xml:space="preserve">                                         </w:t>
      </w:r>
      <w:bookmarkEnd w:id="14"/>
      <w:bookmarkEnd w:id="15"/>
    </w:p>
    <w:p w:rsidR="00992C5A" w:rsidRDefault="00992C5A" w:rsidP="00992C5A">
      <w:pPr>
        <w:rPr>
          <w:rFonts w:cs="Arial"/>
          <w:szCs w:val="22"/>
        </w:rPr>
      </w:pPr>
      <w:r>
        <w:rPr>
          <w:rFonts w:cs="Arial"/>
          <w:szCs w:val="22"/>
        </w:rPr>
        <w:t>Toto pojištění se vztahuje i na odpovědnost za škodu způsobenou výkonem vlastnických práv k nemovitostem, správou a provozem těchto nemovitostí.</w:t>
      </w:r>
    </w:p>
    <w:p w:rsidR="008524B9" w:rsidRDefault="008524B9">
      <w:bookmarkStart w:id="16" w:name="_GoBack"/>
      <w:bookmarkEnd w:id="16"/>
    </w:p>
    <w:sectPr w:rsidR="008524B9" w:rsidSect="00BC3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4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4B4FCF"/>
    <w:multiLevelType w:val="hybridMultilevel"/>
    <w:tmpl w:val="FBC43DBC"/>
    <w:lvl w:ilvl="0" w:tplc="3A1EE722">
      <w:start w:val="1"/>
      <w:numFmt w:val="decimal"/>
      <w:lvlText w:val="RTPL%1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/>
        <w:i w:val="0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63DD50F7"/>
    <w:multiLevelType w:val="multilevel"/>
    <w:tmpl w:val="E4F07582"/>
    <w:lvl w:ilvl="0">
      <w:start w:val="1"/>
      <w:numFmt w:val="decimal"/>
      <w:pStyle w:val="Nadpis1"/>
      <w:lvlText w:val="%1.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4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2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C5A"/>
    <w:rsid w:val="00003285"/>
    <w:rsid w:val="000E365F"/>
    <w:rsid w:val="000F6949"/>
    <w:rsid w:val="0015110A"/>
    <w:rsid w:val="001A6F0E"/>
    <w:rsid w:val="00256F10"/>
    <w:rsid w:val="002776E5"/>
    <w:rsid w:val="00283ECD"/>
    <w:rsid w:val="00317016"/>
    <w:rsid w:val="003B17E5"/>
    <w:rsid w:val="003D4888"/>
    <w:rsid w:val="004340BD"/>
    <w:rsid w:val="00497D94"/>
    <w:rsid w:val="004A5503"/>
    <w:rsid w:val="00531461"/>
    <w:rsid w:val="005F74B3"/>
    <w:rsid w:val="006B399C"/>
    <w:rsid w:val="006E55E7"/>
    <w:rsid w:val="00716DF9"/>
    <w:rsid w:val="007428B0"/>
    <w:rsid w:val="007A5B0F"/>
    <w:rsid w:val="007D4C11"/>
    <w:rsid w:val="008524B9"/>
    <w:rsid w:val="008D759F"/>
    <w:rsid w:val="008F57E7"/>
    <w:rsid w:val="008F61AF"/>
    <w:rsid w:val="008F79D1"/>
    <w:rsid w:val="00992C5A"/>
    <w:rsid w:val="00A3678A"/>
    <w:rsid w:val="00A43AD8"/>
    <w:rsid w:val="00B538D3"/>
    <w:rsid w:val="00BC3F1E"/>
    <w:rsid w:val="00C96950"/>
    <w:rsid w:val="00D36C10"/>
    <w:rsid w:val="00D7148D"/>
    <w:rsid w:val="00DD609B"/>
    <w:rsid w:val="00F200B0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8D61E-F129-4D01-B736-F81EEF77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992C5A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5">
    <w:name w:val="heading 5"/>
    <w:basedOn w:val="Normln"/>
    <w:next w:val="Normln"/>
    <w:link w:val="Nadpis5Char"/>
    <w:uiPriority w:val="9"/>
    <w:qFormat/>
    <w:rsid w:val="00992C5A"/>
    <w:pPr>
      <w:spacing w:before="240" w:after="6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992C5A"/>
    <w:pPr>
      <w:spacing w:before="240" w:after="60"/>
      <w:ind w:left="1152" w:hanging="1152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992C5A"/>
    <w:pPr>
      <w:spacing w:before="240" w:after="60"/>
      <w:ind w:left="1296" w:hanging="1296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992C5A"/>
    <w:pPr>
      <w:spacing w:before="240" w:after="60"/>
      <w:ind w:left="1440" w:hanging="14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992C5A"/>
    <w:pPr>
      <w:spacing w:before="240" w:after="60"/>
      <w:ind w:left="1584" w:hanging="1584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character" w:customStyle="1" w:styleId="Nadpis5Char">
    <w:name w:val="Nadpis 5 Char"/>
    <w:basedOn w:val="Standardnpsmoodstavce"/>
    <w:link w:val="Nadpis5"/>
    <w:uiPriority w:val="9"/>
    <w:rsid w:val="00992C5A"/>
    <w:rPr>
      <w:rFonts w:ascii="Calibri" w:hAnsi="Calibri"/>
      <w:b/>
      <w:bCs/>
      <w:i/>
      <w:iCs/>
      <w:color w:val="000000"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992C5A"/>
    <w:rPr>
      <w:rFonts w:ascii="Calibri" w:hAnsi="Calibri"/>
      <w:b/>
      <w:b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992C5A"/>
    <w:rPr>
      <w:rFonts w:ascii="Calibri" w:hAnsi="Calibri"/>
      <w:color w:val="000000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992C5A"/>
    <w:rPr>
      <w:rFonts w:ascii="Calibri" w:hAnsi="Calibri"/>
      <w:i/>
      <w:iCs/>
      <w:color w:val="000000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992C5A"/>
    <w:rPr>
      <w:rFonts w:ascii="Cambria" w:hAnsi="Cambria"/>
      <w:color w:val="000000"/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"/>
    <w:rsid w:val="00992C5A"/>
    <w:rPr>
      <w:rFonts w:ascii="Arial" w:hAnsi="Arial"/>
      <w:b/>
      <w:color w:val="28316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Petra</dc:creator>
  <cp:keywords/>
  <dc:description/>
  <cp:lastModifiedBy>Nováková Petra</cp:lastModifiedBy>
  <cp:revision>1</cp:revision>
  <dcterms:created xsi:type="dcterms:W3CDTF">2017-06-23T11:50:00Z</dcterms:created>
  <dcterms:modified xsi:type="dcterms:W3CDTF">2017-06-23T11:51:00Z</dcterms:modified>
</cp:coreProperties>
</file>