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1B1C3F" w:rsidRDefault="001B1C3F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B1C3F">
              <w:rPr>
                <w:rFonts w:asciiTheme="minorHAnsi" w:hAnsiTheme="minorHAnsi" w:cs="Arial"/>
                <w:b/>
                <w:sz w:val="22"/>
                <w:szCs w:val="22"/>
              </w:rPr>
              <w:t>Stabilizační byty Dukla čp. 300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1B1C3F" w:rsidRDefault="001B1C3F" w:rsidP="001B1C3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B1C3F">
              <w:rPr>
                <w:rFonts w:asciiTheme="minorHAnsi" w:hAnsiTheme="minorHAnsi" w:cs="Arial"/>
                <w:sz w:val="22"/>
                <w:szCs w:val="22"/>
              </w:rPr>
              <w:t>Zjednodušené podlimitní řízení dle ustanovení § 53 zákona č. 134/2016 Sb., o zadávání veřejných zakázek,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1B1C3F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B1C3F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1B1C3F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172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BE06E8" w:rsidRPr="000D56EC" w:rsidTr="00152510">
        <w:trPr>
          <w:trHeight w:val="454"/>
          <w:jc w:val="center"/>
        </w:trPr>
        <w:tc>
          <w:tcPr>
            <w:tcW w:w="91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E06E8" w:rsidRPr="000D56EC" w:rsidRDefault="00BE06E8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  <w:bookmarkStart w:id="0" w:name="_GoBack"/>
            <w:bookmarkEnd w:id="0"/>
          </w:p>
        </w:tc>
      </w:tr>
      <w:tr w:rsidR="00BE06E8" w:rsidRPr="006A3EB6" w:rsidTr="00B05678">
        <w:trPr>
          <w:trHeight w:val="454"/>
          <w:jc w:val="center"/>
        </w:trPr>
        <w:tc>
          <w:tcPr>
            <w:tcW w:w="91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E06E8" w:rsidRPr="006A3EB6" w:rsidRDefault="00BE06E8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B1C3F"/>
    <w:rsid w:val="001C7CA0"/>
    <w:rsid w:val="0023014A"/>
    <w:rsid w:val="00246E0A"/>
    <w:rsid w:val="002516A8"/>
    <w:rsid w:val="00252470"/>
    <w:rsid w:val="002574BD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96A4B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06E8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68AE7-08A5-4B9B-9940-C75B89A0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2</cp:revision>
  <cp:lastPrinted>2016-02-19T09:33:00Z</cp:lastPrinted>
  <dcterms:created xsi:type="dcterms:W3CDTF">2017-11-06T12:36:00Z</dcterms:created>
  <dcterms:modified xsi:type="dcterms:W3CDTF">2017-11-06T12:36:00Z</dcterms:modified>
</cp:coreProperties>
</file>